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79D" w:rsidRDefault="00C6779D" w:rsidP="004F57E2">
      <w:pPr>
        <w:pStyle w:val="a7"/>
      </w:pPr>
      <w:r>
        <w:t>附件</w:t>
      </w:r>
      <w:r>
        <w:t>2</w:t>
      </w:r>
      <w:r>
        <w:t>：</w:t>
      </w:r>
    </w:p>
    <w:p w:rsidR="00C6779D" w:rsidRDefault="00C6779D">
      <w:pPr>
        <w:pStyle w:val="a5"/>
      </w:pPr>
      <w:r>
        <w:t>评标办法及评分标准</w:t>
      </w:r>
    </w:p>
    <w:p w:rsidR="00C6779D" w:rsidRDefault="00C6779D" w:rsidP="00C6779D">
      <w:pPr>
        <w:pStyle w:val="2"/>
        <w:numPr>
          <w:ilvl w:val="0"/>
          <w:numId w:val="1"/>
        </w:numPr>
        <w:rPr>
          <w:rFonts w:ascii="黑体" w:hAnsi="黑体" w:cs="黑体" w:hint="eastAsia"/>
        </w:rPr>
      </w:pPr>
      <w:r>
        <w:t>评分办法</w:t>
      </w:r>
    </w:p>
    <w:p w:rsidR="00C6779D" w:rsidRDefault="00C6779D" w:rsidP="00C6779D">
      <w:pPr>
        <w:pStyle w:val="a3"/>
        <w:numPr>
          <w:ilvl w:val="0"/>
          <w:numId w:val="2"/>
        </w:numPr>
        <w:ind w:firstLineChars="0"/>
        <w:rPr>
          <w:rFonts w:ascii="宋体" w:hAnsi="宋体" w:cs="宋体" w:hint="eastAsia"/>
        </w:rPr>
      </w:pPr>
      <w:r>
        <w:t>评标办法采用综合评估法。</w:t>
      </w:r>
    </w:p>
    <w:p w:rsidR="00C6779D" w:rsidRDefault="00C6779D" w:rsidP="00C6779D">
      <w:pPr>
        <w:pStyle w:val="a3"/>
        <w:numPr>
          <w:ilvl w:val="0"/>
          <w:numId w:val="2"/>
        </w:numPr>
        <w:ind w:firstLineChars="0"/>
        <w:rPr>
          <w:rFonts w:ascii="宋体" w:hAnsi="宋体" w:cs="宋体" w:hint="eastAsia"/>
        </w:rPr>
      </w:pPr>
      <w:r>
        <w:t>评标</w:t>
      </w:r>
      <w:r>
        <w:rPr>
          <w:rFonts w:hint="eastAsia"/>
        </w:rPr>
        <w:t>组</w:t>
      </w:r>
      <w:r>
        <w:t>根据本评标办法对已接收的</w:t>
      </w:r>
      <w:r>
        <w:rPr>
          <w:rFonts w:hint="eastAsia"/>
        </w:rPr>
        <w:t>比选响应文件</w:t>
      </w:r>
      <w:r>
        <w:t>进行评审，向招标人提供评标排序结果，撰写评标报告，由招标人最终确定中标人。</w:t>
      </w:r>
    </w:p>
    <w:p w:rsidR="00C6779D" w:rsidRDefault="00C6779D" w:rsidP="00C6779D">
      <w:pPr>
        <w:pStyle w:val="a3"/>
        <w:numPr>
          <w:ilvl w:val="0"/>
          <w:numId w:val="2"/>
        </w:numPr>
        <w:ind w:firstLineChars="0"/>
        <w:rPr>
          <w:rFonts w:ascii="宋体" w:hAnsi="宋体" w:cs="宋体" w:hint="eastAsia"/>
        </w:rPr>
      </w:pPr>
      <w:r>
        <w:t>评标程序</w:t>
      </w:r>
    </w:p>
    <w:p w:rsidR="00C6779D" w:rsidRDefault="00C6779D" w:rsidP="004F57E2">
      <w:pPr>
        <w:pStyle w:val="a3"/>
        <w:ind w:firstLine="480"/>
      </w:pPr>
      <w:r>
        <w:t>评标程序分为</w:t>
      </w:r>
      <w:r>
        <w:rPr>
          <w:rFonts w:hint="eastAsia"/>
        </w:rPr>
        <w:t>资格性</w:t>
      </w:r>
      <w:r>
        <w:t>评审</w:t>
      </w:r>
      <w:r>
        <w:rPr>
          <w:rFonts w:hint="eastAsia"/>
        </w:rPr>
        <w:t>和</w:t>
      </w:r>
      <w:r>
        <w:t>综合评审两部分。</w:t>
      </w:r>
    </w:p>
    <w:p w:rsidR="00C6779D" w:rsidRDefault="00C6779D" w:rsidP="00C6779D">
      <w:pPr>
        <w:pStyle w:val="a3"/>
        <w:numPr>
          <w:ilvl w:val="0"/>
          <w:numId w:val="3"/>
        </w:numPr>
        <w:ind w:firstLineChars="0"/>
        <w:rPr>
          <w:rFonts w:ascii="宋体" w:hAnsi="宋体" w:cs="宋体" w:hint="eastAsia"/>
        </w:rPr>
      </w:pPr>
      <w:r>
        <w:rPr>
          <w:rFonts w:hint="eastAsia"/>
        </w:rPr>
        <w:t>资格性</w:t>
      </w:r>
      <w:r>
        <w:t>评审</w:t>
      </w:r>
    </w:p>
    <w:p w:rsidR="00C6779D" w:rsidRDefault="00C6779D" w:rsidP="004F57E2">
      <w:pPr>
        <w:pStyle w:val="a3"/>
        <w:ind w:left="480" w:firstLineChars="0" w:firstLine="0"/>
        <w:rPr>
          <w:rFonts w:ascii="宋体" w:hAnsi="宋体" w:cs="宋体" w:hint="eastAsia"/>
        </w:rPr>
      </w:pPr>
      <w:r>
        <w:rPr>
          <w:rFonts w:hint="eastAsia"/>
        </w:rPr>
        <w:t>评标组</w:t>
      </w:r>
      <w:r>
        <w:t>对比选响应文件</w:t>
      </w:r>
      <w:r>
        <w:rPr>
          <w:rFonts w:hint="eastAsia"/>
        </w:rPr>
        <w:t>中资格部分内容</w:t>
      </w:r>
      <w:r>
        <w:t>进行评审。</w:t>
      </w:r>
    </w:p>
    <w:p w:rsidR="00C6779D" w:rsidRDefault="00C6779D" w:rsidP="00C6779D">
      <w:pPr>
        <w:pStyle w:val="a3"/>
        <w:numPr>
          <w:ilvl w:val="0"/>
          <w:numId w:val="3"/>
        </w:numPr>
        <w:ind w:firstLineChars="0"/>
        <w:rPr>
          <w:rFonts w:ascii="宋体" w:hAnsi="宋体" w:cs="宋体" w:hint="eastAsia"/>
        </w:rPr>
      </w:pPr>
      <w:r>
        <w:t>综合评审</w:t>
      </w:r>
    </w:p>
    <w:p w:rsidR="00C6779D" w:rsidRDefault="00C6779D" w:rsidP="004F57E2">
      <w:pPr>
        <w:pStyle w:val="a3"/>
        <w:ind w:firstLine="480"/>
      </w:pPr>
      <w:r>
        <w:rPr>
          <w:rFonts w:hint="eastAsia"/>
        </w:rPr>
        <w:t>评标组</w:t>
      </w:r>
      <w:r>
        <w:t>按照评分标准进行综合评分并提出评审意见。</w:t>
      </w:r>
    </w:p>
    <w:p w:rsidR="00C6779D" w:rsidRDefault="00C6779D" w:rsidP="00C6779D">
      <w:pPr>
        <w:pStyle w:val="a3"/>
        <w:numPr>
          <w:ilvl w:val="0"/>
          <w:numId w:val="3"/>
        </w:numPr>
        <w:ind w:firstLineChars="0"/>
      </w:pPr>
      <w:r>
        <w:rPr>
          <w:rFonts w:hint="eastAsia"/>
        </w:rPr>
        <w:t>答疑和澄清</w:t>
      </w:r>
    </w:p>
    <w:p w:rsidR="00C6779D" w:rsidRDefault="00C6779D" w:rsidP="004F57E2">
      <w:pPr>
        <w:pStyle w:val="a3"/>
        <w:ind w:firstLine="480"/>
      </w:pPr>
      <w:r>
        <w:rPr>
          <w:rFonts w:hint="eastAsia"/>
        </w:rPr>
        <w:t>有需要时，评标组可向投标单位进行</w:t>
      </w:r>
      <w:r>
        <w:t>质询，</w:t>
      </w:r>
      <w:r>
        <w:rPr>
          <w:rFonts w:hint="eastAsia"/>
        </w:rPr>
        <w:t>要求</w:t>
      </w:r>
      <w:r>
        <w:t>投标单位澄清有关问题</w:t>
      </w:r>
      <w:r>
        <w:rPr>
          <w:rFonts w:hint="eastAsia"/>
        </w:rPr>
        <w:t>，</w:t>
      </w:r>
      <w:r>
        <w:t>有关澄清的要求和答复应以书面形式提交。</w:t>
      </w:r>
    </w:p>
    <w:p w:rsidR="00C6779D" w:rsidRDefault="00C6779D" w:rsidP="00C6779D">
      <w:pPr>
        <w:pStyle w:val="2"/>
        <w:numPr>
          <w:ilvl w:val="0"/>
          <w:numId w:val="1"/>
        </w:numPr>
        <w:rPr>
          <w:rFonts w:ascii="黑体" w:hAnsi="黑体" w:cs="黑体" w:hint="eastAsia"/>
        </w:rPr>
      </w:pPr>
      <w:r>
        <w:t>评分标准</w:t>
      </w:r>
    </w:p>
    <w:p w:rsidR="00C6779D" w:rsidRDefault="00C6779D">
      <w:pPr>
        <w:pStyle w:val="1"/>
      </w:pPr>
      <w:r>
        <w:t>综合评分明细表</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903"/>
        <w:gridCol w:w="776"/>
        <w:gridCol w:w="3408"/>
        <w:gridCol w:w="926"/>
        <w:gridCol w:w="1676"/>
      </w:tblGrid>
      <w:tr w:rsidR="00C6779D">
        <w:trPr>
          <w:tblHeader/>
          <w:jc w:val="center"/>
        </w:trPr>
        <w:tc>
          <w:tcPr>
            <w:tcW w:w="360" w:type="pct"/>
            <w:vAlign w:val="center"/>
          </w:tcPr>
          <w:p w:rsidR="00C6779D" w:rsidRDefault="00C6779D">
            <w:pPr>
              <w:snapToGrid w:val="0"/>
              <w:spacing w:line="240" w:lineRule="auto"/>
              <w:jc w:val="center"/>
              <w:rPr>
                <w:rFonts w:ascii="宋体" w:eastAsia="宋体" w:hAnsi="宋体" w:cs="宋体" w:hint="eastAsia"/>
                <w:b/>
                <w:sz w:val="24"/>
              </w:rPr>
            </w:pPr>
            <w:r>
              <w:rPr>
                <w:rFonts w:ascii="宋体" w:eastAsia="宋体" w:hAnsi="宋体" w:cs="宋体" w:hint="eastAsia"/>
                <w:b/>
                <w:sz w:val="24"/>
              </w:rPr>
              <w:t>序号</w:t>
            </w:r>
          </w:p>
        </w:tc>
        <w:tc>
          <w:tcPr>
            <w:tcW w:w="545" w:type="pct"/>
            <w:vAlign w:val="center"/>
          </w:tcPr>
          <w:p w:rsidR="00C6779D" w:rsidRDefault="00C6779D">
            <w:pPr>
              <w:snapToGrid w:val="0"/>
              <w:spacing w:line="240" w:lineRule="auto"/>
              <w:jc w:val="center"/>
              <w:rPr>
                <w:rFonts w:ascii="宋体" w:eastAsia="宋体" w:hAnsi="宋体" w:cs="宋体" w:hint="eastAsia"/>
                <w:b/>
                <w:sz w:val="24"/>
              </w:rPr>
            </w:pPr>
            <w:r>
              <w:rPr>
                <w:rFonts w:ascii="宋体" w:eastAsia="宋体" w:hAnsi="宋体" w:cs="宋体" w:hint="eastAsia"/>
                <w:b/>
                <w:sz w:val="24"/>
              </w:rPr>
              <w:t>评分因素及权重</w:t>
            </w:r>
          </w:p>
        </w:tc>
        <w:tc>
          <w:tcPr>
            <w:tcW w:w="468" w:type="pct"/>
            <w:vAlign w:val="center"/>
          </w:tcPr>
          <w:p w:rsidR="00C6779D" w:rsidRDefault="00C6779D">
            <w:pPr>
              <w:snapToGrid w:val="0"/>
              <w:spacing w:line="240" w:lineRule="auto"/>
              <w:jc w:val="center"/>
              <w:rPr>
                <w:rFonts w:ascii="宋体" w:eastAsia="宋体" w:hAnsi="宋体" w:cs="宋体" w:hint="eastAsia"/>
                <w:b/>
                <w:sz w:val="24"/>
              </w:rPr>
            </w:pPr>
            <w:r>
              <w:rPr>
                <w:rFonts w:ascii="宋体" w:eastAsia="宋体" w:hAnsi="宋体" w:cs="宋体" w:hint="eastAsia"/>
                <w:b/>
                <w:sz w:val="24"/>
              </w:rPr>
              <w:t>分值</w:t>
            </w:r>
          </w:p>
        </w:tc>
        <w:tc>
          <w:tcPr>
            <w:tcW w:w="2055" w:type="pct"/>
            <w:vAlign w:val="center"/>
          </w:tcPr>
          <w:p w:rsidR="00C6779D" w:rsidRDefault="00C6779D">
            <w:pPr>
              <w:snapToGrid w:val="0"/>
              <w:spacing w:line="240" w:lineRule="auto"/>
              <w:jc w:val="center"/>
              <w:rPr>
                <w:rFonts w:ascii="宋体" w:eastAsia="宋体" w:hAnsi="宋体" w:cs="宋体" w:hint="eastAsia"/>
                <w:b/>
                <w:sz w:val="24"/>
              </w:rPr>
            </w:pPr>
            <w:r>
              <w:rPr>
                <w:rFonts w:ascii="宋体" w:eastAsia="宋体" w:hAnsi="宋体" w:cs="宋体" w:hint="eastAsia"/>
                <w:b/>
                <w:sz w:val="24"/>
              </w:rPr>
              <w:t>评分标准</w:t>
            </w:r>
          </w:p>
        </w:tc>
        <w:tc>
          <w:tcPr>
            <w:tcW w:w="559" w:type="pct"/>
          </w:tcPr>
          <w:p w:rsidR="00C6779D" w:rsidRDefault="00C6779D">
            <w:pPr>
              <w:snapToGrid w:val="0"/>
              <w:spacing w:line="240" w:lineRule="auto"/>
              <w:jc w:val="center"/>
              <w:rPr>
                <w:rFonts w:ascii="宋体" w:eastAsia="宋体" w:hAnsi="宋体" w:cs="宋体" w:hint="eastAsia"/>
                <w:b/>
                <w:sz w:val="24"/>
              </w:rPr>
            </w:pPr>
            <w:r>
              <w:rPr>
                <w:rFonts w:ascii="宋体" w:eastAsia="宋体" w:hAnsi="宋体" w:cs="宋体" w:hint="eastAsia"/>
                <w:b/>
                <w:sz w:val="24"/>
              </w:rPr>
              <w:t>客观/主观</w:t>
            </w:r>
          </w:p>
        </w:tc>
        <w:tc>
          <w:tcPr>
            <w:tcW w:w="1011" w:type="pct"/>
            <w:vAlign w:val="center"/>
          </w:tcPr>
          <w:p w:rsidR="00C6779D" w:rsidRDefault="00C6779D">
            <w:pPr>
              <w:snapToGrid w:val="0"/>
              <w:spacing w:line="240" w:lineRule="auto"/>
              <w:jc w:val="center"/>
              <w:rPr>
                <w:rFonts w:ascii="宋体" w:eastAsia="宋体" w:hAnsi="宋体" w:cs="宋体" w:hint="eastAsia"/>
                <w:b/>
                <w:sz w:val="24"/>
              </w:rPr>
            </w:pPr>
            <w:r>
              <w:rPr>
                <w:rFonts w:ascii="宋体" w:eastAsia="宋体" w:hAnsi="宋体" w:cs="宋体" w:hint="eastAsia"/>
                <w:b/>
                <w:sz w:val="24"/>
              </w:rPr>
              <w:t>说明</w:t>
            </w:r>
          </w:p>
        </w:tc>
      </w:tr>
      <w:tr w:rsidR="00C6779D">
        <w:trPr>
          <w:jc w:val="center"/>
        </w:trPr>
        <w:tc>
          <w:tcPr>
            <w:tcW w:w="360" w:type="pct"/>
            <w:vAlign w:val="center"/>
          </w:tcPr>
          <w:p w:rsidR="00C6779D" w:rsidRDefault="00C6779D">
            <w:pPr>
              <w:snapToGrid w:val="0"/>
              <w:spacing w:line="240" w:lineRule="auto"/>
              <w:jc w:val="center"/>
              <w:rPr>
                <w:rFonts w:ascii="宋体" w:eastAsia="宋体" w:hAnsi="宋体" w:cs="宋体" w:hint="eastAsia"/>
                <w:color w:val="000000"/>
                <w:sz w:val="24"/>
              </w:rPr>
            </w:pPr>
            <w:r>
              <w:rPr>
                <w:rFonts w:ascii="宋体" w:eastAsia="宋体" w:hAnsi="宋体" w:cs="宋体" w:hint="eastAsia"/>
                <w:color w:val="000000"/>
                <w:sz w:val="24"/>
              </w:rPr>
              <w:t>1</w:t>
            </w:r>
          </w:p>
        </w:tc>
        <w:tc>
          <w:tcPr>
            <w:tcW w:w="545" w:type="pct"/>
            <w:vAlign w:val="center"/>
          </w:tcPr>
          <w:p w:rsidR="00C6779D" w:rsidRDefault="00C6779D">
            <w:pPr>
              <w:snapToGrid w:val="0"/>
              <w:spacing w:line="240" w:lineRule="auto"/>
              <w:jc w:val="center"/>
              <w:rPr>
                <w:rFonts w:ascii="宋体" w:eastAsia="宋体" w:hAnsi="宋体" w:cs="宋体" w:hint="eastAsia"/>
                <w:color w:val="000000"/>
                <w:sz w:val="24"/>
              </w:rPr>
            </w:pPr>
            <w:r>
              <w:rPr>
                <w:rFonts w:ascii="宋体" w:eastAsia="宋体" w:hAnsi="宋体" w:cs="宋体" w:hint="eastAsia"/>
                <w:color w:val="000000"/>
                <w:sz w:val="24"/>
              </w:rPr>
              <w:t>报价10%</w:t>
            </w:r>
          </w:p>
        </w:tc>
        <w:tc>
          <w:tcPr>
            <w:tcW w:w="468" w:type="pct"/>
            <w:vAlign w:val="center"/>
          </w:tcPr>
          <w:p w:rsidR="00C6779D" w:rsidRDefault="00C6779D">
            <w:pPr>
              <w:snapToGrid w:val="0"/>
              <w:spacing w:line="240" w:lineRule="auto"/>
              <w:jc w:val="center"/>
              <w:rPr>
                <w:rFonts w:ascii="宋体" w:eastAsia="宋体" w:hAnsi="宋体" w:cs="宋体" w:hint="eastAsia"/>
                <w:color w:val="000000"/>
                <w:sz w:val="24"/>
              </w:rPr>
            </w:pPr>
            <w:r>
              <w:rPr>
                <w:rFonts w:ascii="宋体" w:eastAsia="宋体" w:hAnsi="宋体" w:cs="宋体" w:hint="eastAsia"/>
                <w:color w:val="000000"/>
                <w:sz w:val="24"/>
              </w:rPr>
              <w:t>10分</w:t>
            </w:r>
          </w:p>
        </w:tc>
        <w:tc>
          <w:tcPr>
            <w:tcW w:w="2055" w:type="pct"/>
            <w:vAlign w:val="center"/>
          </w:tcPr>
          <w:p w:rsidR="00C6779D" w:rsidRDefault="00C6779D">
            <w:pPr>
              <w:snapToGrid w:val="0"/>
              <w:spacing w:line="240" w:lineRule="auto"/>
              <w:rPr>
                <w:rFonts w:ascii="宋体" w:eastAsia="宋体" w:hAnsi="宋体" w:cs="宋体" w:hint="eastAsia"/>
                <w:color w:val="000000"/>
                <w:sz w:val="24"/>
              </w:rPr>
            </w:pPr>
            <w:r>
              <w:rPr>
                <w:rFonts w:ascii="宋体" w:eastAsia="宋体" w:hAnsi="宋体" w:cs="宋体" w:hint="eastAsia"/>
                <w:color w:val="000000"/>
                <w:sz w:val="24"/>
              </w:rPr>
              <w:t>以本次有效的最低报价为基准价，报价得分=（基准价／响应报价）×10。</w:t>
            </w:r>
          </w:p>
          <w:p w:rsidR="00C6779D" w:rsidRDefault="00C6779D">
            <w:pPr>
              <w:snapToGrid w:val="0"/>
              <w:spacing w:line="240" w:lineRule="auto"/>
              <w:rPr>
                <w:rFonts w:ascii="宋体" w:eastAsia="宋体" w:hAnsi="宋体" w:cs="宋体" w:hint="eastAsia"/>
                <w:color w:val="000000"/>
                <w:sz w:val="24"/>
              </w:rPr>
            </w:pPr>
            <w:r>
              <w:rPr>
                <w:rFonts w:ascii="宋体" w:eastAsia="宋体" w:hAnsi="宋体" w:cs="宋体" w:hint="eastAsia"/>
                <w:color w:val="000000"/>
                <w:sz w:val="24"/>
              </w:rPr>
              <w:t>评分的取值按四舍五入法，保留小数点后两位。</w:t>
            </w:r>
          </w:p>
        </w:tc>
        <w:tc>
          <w:tcPr>
            <w:tcW w:w="559" w:type="pct"/>
            <w:vAlign w:val="center"/>
          </w:tcPr>
          <w:p w:rsidR="00C6779D" w:rsidRDefault="00C6779D">
            <w:pPr>
              <w:snapToGrid w:val="0"/>
              <w:spacing w:line="240" w:lineRule="auto"/>
              <w:jc w:val="center"/>
              <w:rPr>
                <w:rFonts w:ascii="宋体" w:eastAsia="宋体" w:hAnsi="宋体" w:cs="宋体" w:hint="eastAsia"/>
                <w:color w:val="000000"/>
                <w:sz w:val="24"/>
              </w:rPr>
            </w:pPr>
            <w:r>
              <w:rPr>
                <w:rFonts w:ascii="宋体" w:eastAsia="宋体" w:hAnsi="宋体" w:cs="宋体" w:hint="eastAsia"/>
                <w:color w:val="000000"/>
                <w:sz w:val="24"/>
              </w:rPr>
              <w:t>客观</w:t>
            </w:r>
          </w:p>
        </w:tc>
        <w:tc>
          <w:tcPr>
            <w:tcW w:w="1011" w:type="pct"/>
            <w:vAlign w:val="center"/>
          </w:tcPr>
          <w:p w:rsidR="00C6779D" w:rsidRDefault="00C6779D">
            <w:pPr>
              <w:pStyle w:val="a3"/>
              <w:ind w:firstLine="480"/>
              <w:rPr>
                <w:rFonts w:ascii="宋体" w:hAnsi="宋体" w:cs="宋体" w:hint="eastAsia"/>
                <w:color w:val="000000"/>
              </w:rPr>
            </w:pPr>
            <w:r>
              <w:rPr>
                <w:rFonts w:ascii="宋体" w:hAnsi="宋体" w:cs="宋体" w:hint="eastAsia"/>
                <w:color w:val="000000"/>
              </w:rPr>
              <w:t>/</w:t>
            </w:r>
          </w:p>
        </w:tc>
      </w:tr>
      <w:tr w:rsidR="00C6779D">
        <w:trPr>
          <w:trHeight w:val="2708"/>
          <w:jc w:val="center"/>
        </w:trPr>
        <w:tc>
          <w:tcPr>
            <w:tcW w:w="360" w:type="pct"/>
            <w:vMerge w:val="restart"/>
            <w:vAlign w:val="center"/>
          </w:tcPr>
          <w:p w:rsidR="00C6779D" w:rsidRDefault="00C6779D">
            <w:pPr>
              <w:snapToGrid w:val="0"/>
              <w:spacing w:line="240" w:lineRule="auto"/>
              <w:jc w:val="center"/>
              <w:rPr>
                <w:rFonts w:ascii="宋体" w:eastAsia="宋体" w:hAnsi="宋体" w:cs="宋体" w:hint="eastAsia"/>
                <w:color w:val="000000"/>
                <w:sz w:val="24"/>
              </w:rPr>
            </w:pPr>
            <w:r>
              <w:rPr>
                <w:rFonts w:ascii="宋体" w:eastAsia="宋体" w:hAnsi="宋体" w:cs="宋体" w:hint="eastAsia"/>
                <w:color w:val="000000"/>
                <w:sz w:val="24"/>
              </w:rPr>
              <w:t>2</w:t>
            </w:r>
          </w:p>
        </w:tc>
        <w:tc>
          <w:tcPr>
            <w:tcW w:w="545" w:type="pct"/>
            <w:vMerge w:val="restart"/>
            <w:vAlign w:val="center"/>
          </w:tcPr>
          <w:p w:rsidR="00C6779D" w:rsidRDefault="00C6779D">
            <w:pPr>
              <w:snapToGrid w:val="0"/>
              <w:spacing w:line="240" w:lineRule="auto"/>
              <w:jc w:val="center"/>
              <w:rPr>
                <w:rFonts w:ascii="宋体" w:eastAsia="宋体" w:hAnsi="宋体" w:cs="宋体" w:hint="eastAsia"/>
                <w:color w:val="000000"/>
                <w:sz w:val="24"/>
              </w:rPr>
            </w:pPr>
            <w:r>
              <w:rPr>
                <w:rFonts w:ascii="宋体" w:eastAsia="宋体" w:hAnsi="宋体" w:cs="宋体" w:hint="eastAsia"/>
                <w:color w:val="000000"/>
                <w:sz w:val="24"/>
              </w:rPr>
              <w:t>服务方案54%</w:t>
            </w:r>
          </w:p>
        </w:tc>
        <w:tc>
          <w:tcPr>
            <w:tcW w:w="468" w:type="pct"/>
            <w:vMerge w:val="restart"/>
            <w:vAlign w:val="center"/>
          </w:tcPr>
          <w:p w:rsidR="00C6779D" w:rsidRDefault="00C6779D">
            <w:pPr>
              <w:snapToGrid w:val="0"/>
              <w:spacing w:line="240" w:lineRule="auto"/>
              <w:jc w:val="center"/>
              <w:rPr>
                <w:rFonts w:ascii="宋体" w:eastAsia="宋体" w:hAnsi="宋体" w:cs="宋体" w:hint="eastAsia"/>
                <w:color w:val="000000"/>
                <w:sz w:val="24"/>
              </w:rPr>
            </w:pPr>
            <w:r>
              <w:rPr>
                <w:rFonts w:ascii="宋体" w:eastAsia="宋体" w:hAnsi="宋体" w:cs="宋体" w:hint="eastAsia"/>
                <w:color w:val="000000"/>
                <w:sz w:val="24"/>
              </w:rPr>
              <w:t>54分</w:t>
            </w:r>
          </w:p>
        </w:tc>
        <w:tc>
          <w:tcPr>
            <w:tcW w:w="2055" w:type="pct"/>
            <w:tcBorders>
              <w:bottom w:val="single" w:sz="4" w:space="0" w:color="auto"/>
            </w:tcBorders>
            <w:vAlign w:val="center"/>
          </w:tcPr>
          <w:p w:rsidR="00C6779D" w:rsidRDefault="00C6779D">
            <w:pPr>
              <w:snapToGrid w:val="0"/>
              <w:spacing w:line="240" w:lineRule="auto"/>
              <w:rPr>
                <w:rFonts w:ascii="宋体" w:eastAsia="宋体" w:hAnsi="宋体" w:cs="宋体" w:hint="eastAsia"/>
                <w:color w:val="000000"/>
                <w:sz w:val="24"/>
              </w:rPr>
            </w:pPr>
            <w:r>
              <w:rPr>
                <w:rFonts w:ascii="宋体" w:eastAsia="宋体" w:hAnsi="宋体" w:cs="宋体" w:hint="eastAsia"/>
                <w:color w:val="000000"/>
                <w:sz w:val="24"/>
              </w:rPr>
              <w:t>供应商应针对本项目提供实施方案，内容包括：①项目背景分析；②项目目标；③项目重难点分析；④项目实施内容；⑤项目组织架构与人员分工；⑥项目质量保障方案。以上6项内容完整无缺项且无缺陷的得42分，每缺一项扣7分，每项内容每存在一处缺陷扣3.5分，该项内容分扣完为止。未提供不得分。</w:t>
            </w:r>
          </w:p>
        </w:tc>
        <w:tc>
          <w:tcPr>
            <w:tcW w:w="559" w:type="pct"/>
            <w:vMerge w:val="restart"/>
            <w:vAlign w:val="center"/>
          </w:tcPr>
          <w:p w:rsidR="00C6779D" w:rsidRDefault="00C6779D">
            <w:pPr>
              <w:snapToGrid w:val="0"/>
              <w:spacing w:line="240" w:lineRule="auto"/>
              <w:jc w:val="center"/>
              <w:rPr>
                <w:rFonts w:ascii="宋体" w:eastAsia="宋体" w:hAnsi="宋体" w:cs="宋体" w:hint="eastAsia"/>
                <w:color w:val="000000"/>
                <w:sz w:val="24"/>
              </w:rPr>
            </w:pPr>
            <w:r>
              <w:rPr>
                <w:rFonts w:ascii="宋体" w:eastAsia="宋体" w:hAnsi="宋体" w:cs="宋体" w:hint="eastAsia"/>
                <w:color w:val="000000"/>
                <w:sz w:val="24"/>
              </w:rPr>
              <w:t>主观</w:t>
            </w:r>
          </w:p>
        </w:tc>
        <w:tc>
          <w:tcPr>
            <w:tcW w:w="1011" w:type="pct"/>
            <w:vMerge w:val="restart"/>
            <w:vAlign w:val="center"/>
          </w:tcPr>
          <w:p w:rsidR="00C6779D" w:rsidRDefault="00C6779D">
            <w:pPr>
              <w:snapToGrid w:val="0"/>
              <w:spacing w:line="240" w:lineRule="auto"/>
              <w:rPr>
                <w:rFonts w:ascii="宋体" w:eastAsia="宋体" w:hAnsi="宋体" w:cs="宋体" w:hint="eastAsia"/>
                <w:color w:val="000000"/>
                <w:sz w:val="24"/>
              </w:rPr>
            </w:pPr>
            <w:r>
              <w:rPr>
                <w:rFonts w:ascii="宋体" w:eastAsia="宋体" w:hAnsi="宋体" w:cs="宋体" w:hint="eastAsia"/>
                <w:color w:val="000000"/>
                <w:sz w:val="24"/>
              </w:rPr>
              <w:t>缺陷包括：①内容套用、抄袭其他项目方案；②引用或适用的法律法规、规范（标准）或其他规范性文件错误或失效；③内容与本项目（包件）需求不符或无关；④方案内容照搬采购需求且未就采购需求做进一步描述；⑤仅有框架/标题而无实质性内容；⑥其他技术缺陷。</w:t>
            </w:r>
          </w:p>
        </w:tc>
      </w:tr>
      <w:tr w:rsidR="00C6779D">
        <w:trPr>
          <w:trHeight w:val="2210"/>
          <w:jc w:val="center"/>
        </w:trPr>
        <w:tc>
          <w:tcPr>
            <w:tcW w:w="360" w:type="pct"/>
            <w:vMerge/>
            <w:vAlign w:val="center"/>
          </w:tcPr>
          <w:p w:rsidR="00C6779D" w:rsidRDefault="00C6779D">
            <w:pPr>
              <w:snapToGrid w:val="0"/>
              <w:spacing w:line="240" w:lineRule="auto"/>
              <w:jc w:val="center"/>
              <w:rPr>
                <w:rFonts w:ascii="宋体" w:eastAsia="宋体" w:hAnsi="宋体" w:cs="宋体" w:hint="eastAsia"/>
                <w:color w:val="000000"/>
                <w:sz w:val="24"/>
              </w:rPr>
            </w:pPr>
          </w:p>
        </w:tc>
        <w:tc>
          <w:tcPr>
            <w:tcW w:w="545" w:type="pct"/>
            <w:vMerge/>
            <w:vAlign w:val="center"/>
          </w:tcPr>
          <w:p w:rsidR="00C6779D" w:rsidRDefault="00C6779D">
            <w:pPr>
              <w:snapToGrid w:val="0"/>
              <w:spacing w:line="240" w:lineRule="auto"/>
              <w:jc w:val="center"/>
              <w:rPr>
                <w:rFonts w:ascii="宋体" w:eastAsia="宋体" w:hAnsi="宋体" w:cs="宋体" w:hint="eastAsia"/>
                <w:color w:val="000000"/>
                <w:sz w:val="24"/>
              </w:rPr>
            </w:pPr>
          </w:p>
        </w:tc>
        <w:tc>
          <w:tcPr>
            <w:tcW w:w="468" w:type="pct"/>
            <w:vMerge/>
            <w:vAlign w:val="center"/>
          </w:tcPr>
          <w:p w:rsidR="00C6779D" w:rsidRDefault="00C6779D">
            <w:pPr>
              <w:snapToGrid w:val="0"/>
              <w:spacing w:line="240" w:lineRule="auto"/>
              <w:jc w:val="center"/>
              <w:rPr>
                <w:rFonts w:ascii="宋体" w:eastAsia="宋体" w:hAnsi="宋体" w:cs="宋体" w:hint="eastAsia"/>
                <w:color w:val="000000"/>
                <w:sz w:val="24"/>
              </w:rPr>
            </w:pPr>
          </w:p>
        </w:tc>
        <w:tc>
          <w:tcPr>
            <w:tcW w:w="2055" w:type="pct"/>
            <w:tcBorders>
              <w:top w:val="single" w:sz="4" w:space="0" w:color="auto"/>
            </w:tcBorders>
            <w:vAlign w:val="center"/>
          </w:tcPr>
          <w:p w:rsidR="00C6779D" w:rsidRDefault="00C6779D">
            <w:pPr>
              <w:snapToGrid w:val="0"/>
              <w:spacing w:line="240" w:lineRule="auto"/>
              <w:rPr>
                <w:rFonts w:ascii="宋体" w:eastAsia="宋体" w:hAnsi="宋体" w:cs="宋体" w:hint="eastAsia"/>
                <w:color w:val="000000"/>
                <w:sz w:val="24"/>
              </w:rPr>
            </w:pPr>
            <w:r>
              <w:rPr>
                <w:rFonts w:ascii="宋体" w:eastAsia="宋体" w:hAnsi="宋体" w:cs="宋体" w:hint="eastAsia"/>
                <w:color w:val="000000"/>
                <w:sz w:val="24"/>
              </w:rPr>
              <w:t>除上述方案内容外，供应商应针对本项目提供工作进度计划，内容包括：①项目时间节点安排；②项目阶段工作任务。以上2项内容完整无缺项且无缺陷的得12分，每缺一项扣6分，每项内容每存在一处缺陷扣3分，该项内容分扣完为止。未提供不得分。</w:t>
            </w:r>
          </w:p>
        </w:tc>
        <w:tc>
          <w:tcPr>
            <w:tcW w:w="559" w:type="pct"/>
            <w:vMerge/>
            <w:vAlign w:val="center"/>
          </w:tcPr>
          <w:p w:rsidR="00C6779D" w:rsidRDefault="00C6779D">
            <w:pPr>
              <w:snapToGrid w:val="0"/>
              <w:spacing w:line="240" w:lineRule="auto"/>
              <w:jc w:val="center"/>
              <w:rPr>
                <w:rFonts w:ascii="宋体" w:eastAsia="宋体" w:hAnsi="宋体" w:cs="宋体" w:hint="eastAsia"/>
                <w:color w:val="000000"/>
                <w:sz w:val="24"/>
              </w:rPr>
            </w:pPr>
          </w:p>
        </w:tc>
        <w:tc>
          <w:tcPr>
            <w:tcW w:w="1011" w:type="pct"/>
            <w:vMerge/>
            <w:vAlign w:val="center"/>
          </w:tcPr>
          <w:p w:rsidR="00C6779D" w:rsidRDefault="00C6779D">
            <w:pPr>
              <w:snapToGrid w:val="0"/>
              <w:spacing w:line="240" w:lineRule="auto"/>
              <w:rPr>
                <w:rFonts w:ascii="宋体" w:eastAsia="宋体" w:hAnsi="宋体" w:cs="宋体" w:hint="eastAsia"/>
                <w:color w:val="000000"/>
                <w:sz w:val="24"/>
              </w:rPr>
            </w:pPr>
          </w:p>
        </w:tc>
      </w:tr>
      <w:tr w:rsidR="00C6779D">
        <w:trPr>
          <w:jc w:val="center"/>
        </w:trPr>
        <w:tc>
          <w:tcPr>
            <w:tcW w:w="360" w:type="pct"/>
            <w:vAlign w:val="center"/>
          </w:tcPr>
          <w:p w:rsidR="00C6779D" w:rsidRDefault="00C6779D">
            <w:pPr>
              <w:snapToGrid w:val="0"/>
              <w:spacing w:line="240" w:lineRule="auto"/>
              <w:jc w:val="center"/>
              <w:rPr>
                <w:rFonts w:ascii="宋体" w:eastAsia="宋体" w:hAnsi="宋体" w:cs="宋体" w:hint="eastAsia"/>
                <w:color w:val="000000"/>
                <w:sz w:val="24"/>
              </w:rPr>
            </w:pPr>
            <w:r>
              <w:rPr>
                <w:rFonts w:ascii="宋体" w:eastAsia="宋体" w:hAnsi="宋体" w:cs="宋体" w:hint="eastAsia"/>
                <w:color w:val="000000"/>
                <w:sz w:val="24"/>
              </w:rPr>
              <w:t>3</w:t>
            </w:r>
          </w:p>
        </w:tc>
        <w:tc>
          <w:tcPr>
            <w:tcW w:w="545" w:type="pct"/>
            <w:vAlign w:val="center"/>
          </w:tcPr>
          <w:p w:rsidR="00C6779D" w:rsidRDefault="00C6779D">
            <w:pPr>
              <w:snapToGrid w:val="0"/>
              <w:spacing w:line="240" w:lineRule="auto"/>
              <w:jc w:val="center"/>
              <w:rPr>
                <w:rFonts w:ascii="宋体" w:eastAsia="宋体" w:hAnsi="宋体" w:cs="宋体" w:hint="eastAsia"/>
                <w:color w:val="000000"/>
                <w:sz w:val="24"/>
              </w:rPr>
            </w:pPr>
            <w:r>
              <w:rPr>
                <w:rFonts w:ascii="宋体" w:eastAsia="宋体" w:hAnsi="宋体" w:cs="宋体" w:hint="eastAsia"/>
                <w:color w:val="000000"/>
                <w:sz w:val="24"/>
              </w:rPr>
              <w:t>人员配置22%</w:t>
            </w:r>
          </w:p>
        </w:tc>
        <w:tc>
          <w:tcPr>
            <w:tcW w:w="468" w:type="pct"/>
            <w:vAlign w:val="center"/>
          </w:tcPr>
          <w:p w:rsidR="00C6779D" w:rsidRDefault="00C6779D">
            <w:pPr>
              <w:snapToGrid w:val="0"/>
              <w:spacing w:line="240" w:lineRule="auto"/>
              <w:jc w:val="center"/>
              <w:rPr>
                <w:rFonts w:ascii="宋体" w:eastAsia="宋体" w:hAnsi="宋体" w:cs="宋体" w:hint="eastAsia"/>
                <w:color w:val="000000"/>
                <w:sz w:val="24"/>
              </w:rPr>
            </w:pPr>
            <w:r>
              <w:rPr>
                <w:rFonts w:ascii="宋体" w:eastAsia="宋体" w:hAnsi="宋体" w:cs="宋体" w:hint="eastAsia"/>
                <w:color w:val="000000"/>
                <w:sz w:val="24"/>
              </w:rPr>
              <w:t>22分</w:t>
            </w:r>
          </w:p>
        </w:tc>
        <w:tc>
          <w:tcPr>
            <w:tcW w:w="2055" w:type="pct"/>
            <w:vAlign w:val="center"/>
          </w:tcPr>
          <w:p w:rsidR="00C6779D" w:rsidRDefault="00C6779D">
            <w:pPr>
              <w:snapToGrid w:val="0"/>
              <w:spacing w:after="0" w:line="240" w:lineRule="auto"/>
              <w:rPr>
                <w:rFonts w:ascii="宋体" w:eastAsia="宋体" w:hAnsi="宋体" w:cs="宋体" w:hint="eastAsia"/>
                <w:color w:val="000000"/>
                <w:sz w:val="24"/>
              </w:rPr>
            </w:pPr>
            <w:r>
              <w:rPr>
                <w:rFonts w:ascii="宋体" w:eastAsia="宋体" w:hAnsi="宋体" w:cs="宋体" w:hint="eastAsia"/>
                <w:color w:val="000000"/>
                <w:sz w:val="24"/>
              </w:rPr>
              <w:t xml:space="preserve">1.拟派项目负责人（1人）：具有标准化类或兽医类相关专业中级职称得7分。具有高级及以上职称得14分，此项最多得14分。 </w:t>
            </w:r>
          </w:p>
          <w:p w:rsidR="00C6779D" w:rsidRDefault="00C6779D">
            <w:pPr>
              <w:snapToGrid w:val="0"/>
              <w:spacing w:line="240" w:lineRule="auto"/>
              <w:rPr>
                <w:rFonts w:ascii="宋体" w:eastAsia="宋体" w:hAnsi="宋体" w:cs="宋体" w:hint="eastAsia"/>
                <w:color w:val="000000"/>
                <w:sz w:val="24"/>
              </w:rPr>
            </w:pPr>
            <w:r>
              <w:rPr>
                <w:rFonts w:ascii="宋体" w:eastAsia="宋体" w:hAnsi="宋体" w:cs="宋体" w:hint="eastAsia"/>
                <w:color w:val="000000"/>
                <w:sz w:val="24"/>
              </w:rPr>
              <w:t>2.拟派其他人员：每增加一名具有标准化类或兽医类相关专业初级或以上职称的人员得4分，此项最多得8分。</w:t>
            </w:r>
          </w:p>
        </w:tc>
        <w:tc>
          <w:tcPr>
            <w:tcW w:w="559" w:type="pct"/>
            <w:vAlign w:val="center"/>
          </w:tcPr>
          <w:p w:rsidR="00C6779D" w:rsidRDefault="00C6779D">
            <w:pPr>
              <w:snapToGrid w:val="0"/>
              <w:spacing w:line="240" w:lineRule="auto"/>
              <w:jc w:val="center"/>
              <w:rPr>
                <w:rFonts w:ascii="宋体" w:eastAsia="宋体" w:hAnsi="宋体" w:cs="宋体" w:hint="eastAsia"/>
                <w:color w:val="000000"/>
                <w:sz w:val="24"/>
              </w:rPr>
            </w:pPr>
            <w:r>
              <w:rPr>
                <w:rFonts w:ascii="宋体" w:eastAsia="宋体" w:hAnsi="宋体" w:cs="宋体" w:hint="eastAsia"/>
                <w:color w:val="000000"/>
                <w:sz w:val="24"/>
              </w:rPr>
              <w:t>客观</w:t>
            </w:r>
          </w:p>
        </w:tc>
        <w:tc>
          <w:tcPr>
            <w:tcW w:w="1011" w:type="pct"/>
            <w:vAlign w:val="center"/>
          </w:tcPr>
          <w:p w:rsidR="00C6779D" w:rsidRDefault="00C6779D">
            <w:pPr>
              <w:snapToGrid w:val="0"/>
              <w:spacing w:line="240" w:lineRule="auto"/>
              <w:rPr>
                <w:rFonts w:ascii="宋体" w:eastAsia="宋体" w:hAnsi="宋体" w:cs="宋体" w:hint="eastAsia"/>
                <w:color w:val="000000"/>
                <w:sz w:val="24"/>
              </w:rPr>
            </w:pPr>
            <w:r>
              <w:rPr>
                <w:rFonts w:ascii="宋体" w:eastAsia="宋体" w:hAnsi="宋体" w:cs="宋体" w:hint="eastAsia"/>
                <w:color w:val="000000"/>
                <w:sz w:val="24"/>
              </w:rPr>
              <w:t>注：以上人员均不得重复计分，提供证书复印件加盖供应商公章。</w:t>
            </w:r>
          </w:p>
        </w:tc>
      </w:tr>
      <w:tr w:rsidR="00C6779D">
        <w:trPr>
          <w:jc w:val="center"/>
        </w:trPr>
        <w:tc>
          <w:tcPr>
            <w:tcW w:w="360" w:type="pct"/>
            <w:vAlign w:val="center"/>
          </w:tcPr>
          <w:p w:rsidR="00C6779D" w:rsidRDefault="00C6779D">
            <w:pPr>
              <w:snapToGrid w:val="0"/>
              <w:spacing w:line="240" w:lineRule="auto"/>
              <w:jc w:val="center"/>
              <w:rPr>
                <w:rFonts w:ascii="宋体" w:eastAsia="宋体" w:hAnsi="宋体" w:cs="宋体" w:hint="eastAsia"/>
                <w:color w:val="000000"/>
                <w:sz w:val="24"/>
              </w:rPr>
            </w:pPr>
            <w:r>
              <w:rPr>
                <w:rFonts w:ascii="宋体" w:eastAsia="宋体" w:hAnsi="宋体" w:cs="宋体" w:hint="eastAsia"/>
                <w:color w:val="000000"/>
                <w:sz w:val="24"/>
              </w:rPr>
              <w:t>4</w:t>
            </w:r>
          </w:p>
        </w:tc>
        <w:tc>
          <w:tcPr>
            <w:tcW w:w="545" w:type="pct"/>
            <w:vAlign w:val="center"/>
          </w:tcPr>
          <w:p w:rsidR="00C6779D" w:rsidRDefault="00C6779D">
            <w:pPr>
              <w:snapToGrid w:val="0"/>
              <w:spacing w:line="240" w:lineRule="auto"/>
              <w:jc w:val="center"/>
              <w:rPr>
                <w:rFonts w:ascii="宋体" w:eastAsia="宋体" w:hAnsi="宋体" w:cs="宋体" w:hint="eastAsia"/>
                <w:color w:val="000000"/>
                <w:sz w:val="24"/>
              </w:rPr>
            </w:pPr>
            <w:r>
              <w:rPr>
                <w:rFonts w:ascii="宋体" w:eastAsia="宋体" w:hAnsi="宋体" w:cs="宋体" w:hint="eastAsia"/>
                <w:color w:val="000000"/>
                <w:sz w:val="24"/>
              </w:rPr>
              <w:t>履约能力14%</w:t>
            </w:r>
          </w:p>
        </w:tc>
        <w:tc>
          <w:tcPr>
            <w:tcW w:w="468" w:type="pct"/>
            <w:vAlign w:val="center"/>
          </w:tcPr>
          <w:p w:rsidR="00C6779D" w:rsidRDefault="00C6779D">
            <w:pPr>
              <w:snapToGrid w:val="0"/>
              <w:spacing w:line="240" w:lineRule="auto"/>
              <w:jc w:val="center"/>
              <w:rPr>
                <w:rFonts w:ascii="宋体" w:eastAsia="宋体" w:hAnsi="宋体" w:cs="宋体" w:hint="eastAsia"/>
                <w:color w:val="000000"/>
                <w:sz w:val="24"/>
              </w:rPr>
            </w:pPr>
            <w:r>
              <w:rPr>
                <w:rFonts w:ascii="宋体" w:eastAsia="宋体" w:hAnsi="宋体" w:cs="宋体" w:hint="eastAsia"/>
                <w:color w:val="000000"/>
                <w:sz w:val="24"/>
              </w:rPr>
              <w:t>14分</w:t>
            </w:r>
          </w:p>
        </w:tc>
        <w:tc>
          <w:tcPr>
            <w:tcW w:w="2055" w:type="pct"/>
            <w:vAlign w:val="center"/>
          </w:tcPr>
          <w:p w:rsidR="00C6779D" w:rsidRDefault="00C6779D">
            <w:pPr>
              <w:snapToGrid w:val="0"/>
              <w:spacing w:line="240" w:lineRule="auto"/>
              <w:rPr>
                <w:rFonts w:ascii="宋体" w:eastAsia="宋体" w:hAnsi="宋体" w:cs="宋体" w:hint="eastAsia"/>
                <w:color w:val="000000"/>
                <w:sz w:val="24"/>
              </w:rPr>
            </w:pPr>
            <w:r>
              <w:rPr>
                <w:rFonts w:ascii="宋体" w:eastAsia="宋体" w:hAnsi="宋体" w:cs="宋体" w:hint="eastAsia"/>
                <w:color w:val="000000"/>
                <w:sz w:val="24"/>
              </w:rPr>
              <w:t xml:space="preserve">2023年1月1日以来每有一个类似业绩得7分，本项最多得14分。 </w:t>
            </w:r>
          </w:p>
        </w:tc>
        <w:tc>
          <w:tcPr>
            <w:tcW w:w="559" w:type="pct"/>
            <w:vAlign w:val="center"/>
          </w:tcPr>
          <w:p w:rsidR="00C6779D" w:rsidRDefault="00C6779D">
            <w:pPr>
              <w:snapToGrid w:val="0"/>
              <w:spacing w:line="240" w:lineRule="auto"/>
              <w:jc w:val="center"/>
              <w:rPr>
                <w:rFonts w:ascii="宋体" w:eastAsia="宋体" w:hAnsi="宋体" w:cs="宋体" w:hint="eastAsia"/>
                <w:color w:val="000000"/>
                <w:sz w:val="24"/>
              </w:rPr>
            </w:pPr>
            <w:r>
              <w:rPr>
                <w:rFonts w:ascii="宋体" w:eastAsia="宋体" w:hAnsi="宋体" w:cs="宋体" w:hint="eastAsia"/>
                <w:color w:val="000000"/>
                <w:sz w:val="24"/>
              </w:rPr>
              <w:t>客观</w:t>
            </w:r>
          </w:p>
        </w:tc>
        <w:tc>
          <w:tcPr>
            <w:tcW w:w="1011" w:type="pct"/>
            <w:vAlign w:val="center"/>
          </w:tcPr>
          <w:p w:rsidR="00C6779D" w:rsidRDefault="00C6779D">
            <w:pPr>
              <w:snapToGrid w:val="0"/>
              <w:spacing w:line="240" w:lineRule="auto"/>
              <w:rPr>
                <w:rFonts w:ascii="宋体" w:eastAsia="宋体" w:hAnsi="宋体" w:cs="宋体" w:hint="eastAsia"/>
                <w:color w:val="000000"/>
                <w:sz w:val="24"/>
              </w:rPr>
            </w:pPr>
            <w:r>
              <w:rPr>
                <w:rFonts w:ascii="宋体" w:eastAsia="宋体" w:hAnsi="宋体" w:cs="宋体" w:hint="eastAsia"/>
                <w:color w:val="000000"/>
                <w:sz w:val="24"/>
              </w:rPr>
              <w:t>注：以合同签订时间为准，提供合同复印件并加盖供应商公章。</w:t>
            </w:r>
          </w:p>
        </w:tc>
      </w:tr>
    </w:tbl>
    <w:p w:rsidR="00C6779D" w:rsidRDefault="00C6779D">
      <w:pPr>
        <w:pStyle w:val="a3"/>
        <w:ind w:firstLine="480"/>
      </w:pPr>
      <w:r>
        <w:t>注：评分的取值按四舍五入法，保留小数点后两位。按综合得分由高到低进行排序。综合得分相同的，按投标报价由低到高顺序排列。得分最高的受邀比选人为中标方。</w:t>
      </w:r>
    </w:p>
    <w:p w:rsidR="00C6779D" w:rsidRDefault="00C6779D">
      <w:pPr>
        <w:ind w:firstLineChars="200" w:firstLine="640"/>
        <w:rPr>
          <w:rFonts w:ascii="仿宋_GB2312" w:eastAsia="仿宋_GB2312" w:hAnsi="Times New Roman" w:cs="Times New Roman"/>
          <w:sz w:val="32"/>
          <w:szCs w:val="32"/>
        </w:rPr>
      </w:pPr>
    </w:p>
    <w:p w:rsidR="00C6779D" w:rsidRDefault="00C6779D">
      <w:pPr>
        <w:widowControl/>
        <w:spacing w:after="0" w:line="240" w:lineRule="auto"/>
        <w:rPr>
          <w:rFonts w:ascii="方正仿宋简体" w:eastAsia="方正仿宋简体"/>
          <w:szCs w:val="32"/>
        </w:rPr>
      </w:pPr>
    </w:p>
    <w:p w:rsidR="00C6779D" w:rsidRDefault="00C6779D" w:rsidP="004F57E2">
      <w:pPr>
        <w:sectPr w:rsidR="00C6779D" w:rsidSect="00C6779D">
          <w:type w:val="continuous"/>
          <w:pgSz w:w="11900" w:h="15840"/>
          <w:pgMar w:top="1440" w:right="1800" w:bottom="1440" w:left="1800" w:header="720" w:footer="720" w:gutter="0"/>
          <w:cols w:space="720"/>
          <w:docGrid w:linePitch="299"/>
        </w:sectPr>
      </w:pPr>
    </w:p>
    <w:p w:rsidR="00D36CB7" w:rsidRDefault="00D36CB7"/>
    <w:sectPr w:rsidR="00D36C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789A6F"/>
    <w:multiLevelType w:val="singleLevel"/>
    <w:tmpl w:val="CC789A6F"/>
    <w:lvl w:ilvl="0">
      <w:start w:val="1"/>
      <w:numFmt w:val="chineseCounting"/>
      <w:suff w:val="nothing"/>
      <w:lvlText w:val="（%1）"/>
      <w:lvlJc w:val="left"/>
      <w:pPr>
        <w:ind w:left="0" w:firstLine="480"/>
      </w:pPr>
      <w:rPr>
        <w:rFonts w:hint="eastAsia"/>
      </w:rPr>
    </w:lvl>
  </w:abstractNum>
  <w:abstractNum w:abstractNumId="1" w15:restartNumberingAfterBreak="0">
    <w:nsid w:val="30DB19F3"/>
    <w:multiLevelType w:val="singleLevel"/>
    <w:tmpl w:val="30DB19F3"/>
    <w:lvl w:ilvl="0">
      <w:start w:val="1"/>
      <w:numFmt w:val="chineseCounting"/>
      <w:suff w:val="nothing"/>
      <w:lvlText w:val="%1、"/>
      <w:lvlJc w:val="left"/>
      <w:pPr>
        <w:ind w:left="0" w:firstLine="0"/>
      </w:pPr>
      <w:rPr>
        <w:rFonts w:hint="eastAsia"/>
      </w:rPr>
    </w:lvl>
  </w:abstractNum>
  <w:abstractNum w:abstractNumId="2" w15:restartNumberingAfterBreak="0">
    <w:nsid w:val="63D316D0"/>
    <w:multiLevelType w:val="singleLevel"/>
    <w:tmpl w:val="63D316D0"/>
    <w:lvl w:ilvl="0">
      <w:start w:val="1"/>
      <w:numFmt w:val="decimal"/>
      <w:suff w:val="nothing"/>
      <w:lvlText w:val="%1．"/>
      <w:lvlJc w:val="left"/>
      <w:pPr>
        <w:ind w:left="0" w:firstLine="480"/>
      </w:pPr>
      <w:rPr>
        <w:rFonts w:hint="default"/>
      </w:rPr>
    </w:lvl>
  </w:abstractNum>
  <w:num w:numId="1" w16cid:durableId="936063779">
    <w:abstractNumId w:val="1"/>
  </w:num>
  <w:num w:numId="2" w16cid:durableId="1685324210">
    <w:abstractNumId w:val="0"/>
  </w:num>
  <w:num w:numId="3" w16cid:durableId="1834295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9D"/>
    <w:rsid w:val="003C0440"/>
    <w:rsid w:val="00C6779D"/>
    <w:rsid w:val="00D3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3A92207-DB1B-4146-A989-C94264E7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next w:val="a"/>
    <w:link w:val="20"/>
    <w:uiPriority w:val="9"/>
    <w:unhideWhenUsed/>
    <w:qFormat/>
    <w:rsid w:val="00C6779D"/>
    <w:pPr>
      <w:widowControl w:val="0"/>
      <w:adjustRightInd w:val="0"/>
      <w:spacing w:before="280" w:after="0" w:line="300" w:lineRule="auto"/>
      <w:jc w:val="both"/>
      <w:outlineLvl w:val="1"/>
    </w:pPr>
    <w:rPr>
      <w:rFonts w:ascii="Times New Roman" w:eastAsia="黑体" w:hAnsi="Times New Roman" w:cs="Times New Roman"/>
      <w:sz w:val="30"/>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6779D"/>
    <w:rPr>
      <w:rFonts w:ascii="Times New Roman" w:eastAsia="黑体" w:hAnsi="Times New Roman" w:cs="Times New Roman"/>
      <w:sz w:val="30"/>
      <w:szCs w:val="32"/>
      <w14:ligatures w14:val="none"/>
    </w:rPr>
  </w:style>
  <w:style w:type="paragraph" w:styleId="a3">
    <w:name w:val="Body Text"/>
    <w:link w:val="a4"/>
    <w:uiPriority w:val="99"/>
    <w:unhideWhenUsed/>
    <w:qFormat/>
    <w:rsid w:val="00C6779D"/>
    <w:pPr>
      <w:widowControl w:val="0"/>
      <w:adjustRightInd w:val="0"/>
      <w:spacing w:before="100" w:after="100" w:line="300" w:lineRule="auto"/>
      <w:ind w:firstLineChars="200" w:firstLine="1044"/>
      <w:jc w:val="both"/>
    </w:pPr>
    <w:rPr>
      <w:rFonts w:ascii="Times New Roman" w:eastAsia="宋体" w:hAnsi="Times New Roman" w:cs="Times New Roman"/>
      <w:sz w:val="24"/>
      <w14:ligatures w14:val="none"/>
    </w:rPr>
  </w:style>
  <w:style w:type="character" w:customStyle="1" w:styleId="a4">
    <w:name w:val="正文文本 字符"/>
    <w:basedOn w:val="a0"/>
    <w:link w:val="a3"/>
    <w:uiPriority w:val="99"/>
    <w:rsid w:val="00C6779D"/>
    <w:rPr>
      <w:rFonts w:ascii="Times New Roman" w:eastAsia="宋体" w:hAnsi="Times New Roman" w:cs="Times New Roman"/>
      <w:sz w:val="24"/>
      <w14:ligatures w14:val="none"/>
    </w:rPr>
  </w:style>
  <w:style w:type="paragraph" w:styleId="a5">
    <w:name w:val="Title"/>
    <w:next w:val="a"/>
    <w:link w:val="a6"/>
    <w:qFormat/>
    <w:rsid w:val="00C6779D"/>
    <w:pPr>
      <w:widowControl w:val="0"/>
      <w:adjustRightInd w:val="0"/>
      <w:spacing w:before="100" w:after="100" w:line="240" w:lineRule="auto"/>
      <w:jc w:val="center"/>
    </w:pPr>
    <w:rPr>
      <w:rFonts w:ascii="Times New Roman" w:eastAsia="黑体" w:hAnsi="Times New Roman" w:cs="Times New Roman"/>
      <w:sz w:val="36"/>
      <w14:ligatures w14:val="none"/>
    </w:rPr>
  </w:style>
  <w:style w:type="character" w:customStyle="1" w:styleId="a6">
    <w:name w:val="标题 字符"/>
    <w:basedOn w:val="a0"/>
    <w:link w:val="a5"/>
    <w:rsid w:val="00C6779D"/>
    <w:rPr>
      <w:rFonts w:ascii="Times New Roman" w:eastAsia="黑体" w:hAnsi="Times New Roman" w:cs="Times New Roman"/>
      <w:sz w:val="36"/>
      <w14:ligatures w14:val="none"/>
    </w:rPr>
  </w:style>
  <w:style w:type="paragraph" w:customStyle="1" w:styleId="a7">
    <w:name w:val="附录标题"/>
    <w:next w:val="a"/>
    <w:rsid w:val="00C6779D"/>
    <w:pPr>
      <w:widowControl w:val="0"/>
      <w:adjustRightInd w:val="0"/>
      <w:spacing w:before="100" w:after="100" w:line="360" w:lineRule="auto"/>
      <w:jc w:val="both"/>
      <w:outlineLvl w:val="0"/>
    </w:pPr>
    <w:rPr>
      <w:rFonts w:ascii="Times New Roman" w:eastAsia="黑体" w:hAnsi="Times New Roman" w:cs="Times New Roman"/>
      <w:color w:val="000000"/>
      <w:kern w:val="44"/>
      <w:sz w:val="36"/>
      <w:szCs w:val="44"/>
      <w14:ligatures w14:val="none"/>
    </w:rPr>
  </w:style>
  <w:style w:type="paragraph" w:customStyle="1" w:styleId="1">
    <w:name w:val="题注1"/>
    <w:next w:val="a"/>
    <w:qFormat/>
    <w:rsid w:val="00C6779D"/>
    <w:pPr>
      <w:widowControl w:val="0"/>
      <w:adjustRightInd w:val="0"/>
      <w:spacing w:before="240" w:after="120" w:line="288" w:lineRule="auto"/>
      <w:jc w:val="center"/>
    </w:pPr>
    <w:rPr>
      <w:rFonts w:ascii="Times New Roman" w:eastAsia="宋体" w:hAnsi="Times New Roman" w:cs="宋体"/>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钱鹏</dc:creator>
  <cp:keywords/>
  <dc:description/>
  <cp:lastModifiedBy/>
  <cp:revision>1</cp:revision>
  <dcterms:created xsi:type="dcterms:W3CDTF">2026-04-27T01:24:00Z</dcterms:created>
</cp:coreProperties>
</file>