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19D5">
      <w:pPr>
        <w:pStyle w:val="7"/>
      </w:pPr>
      <w:r>
        <w:t>附件2：</w:t>
      </w:r>
    </w:p>
    <w:p w14:paraId="354F6F73">
      <w:pPr>
        <w:pStyle w:val="4"/>
      </w:pPr>
      <w:r>
        <w:t>评标办法及评分标准</w:t>
      </w:r>
    </w:p>
    <w:p w14:paraId="40C3307C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评分办法</w:t>
      </w:r>
    </w:p>
    <w:p w14:paraId="1ACE397B">
      <w:pPr>
        <w:pStyle w:val="3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评标办法采用综合评估法。</w:t>
      </w:r>
    </w:p>
    <w:p w14:paraId="31872DC4">
      <w:pPr>
        <w:pStyle w:val="3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评标</w:t>
      </w:r>
      <w:r>
        <w:rPr>
          <w:rFonts w:hint="eastAsia"/>
        </w:rPr>
        <w:t>组</w:t>
      </w:r>
      <w:r>
        <w:t>根据本评标办法对已接收的</w:t>
      </w:r>
      <w:r>
        <w:rPr>
          <w:rFonts w:hint="eastAsia"/>
          <w:lang w:eastAsia="zh-CN"/>
        </w:rPr>
        <w:t>响应文件</w:t>
      </w:r>
      <w:r>
        <w:t>进行评审，向招标人提供评标排序结果，撰写评标报告，由招标人最终确定中标人。</w:t>
      </w:r>
    </w:p>
    <w:p w14:paraId="712F2430">
      <w:pPr>
        <w:pStyle w:val="3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评标程序</w:t>
      </w:r>
    </w:p>
    <w:p w14:paraId="5B154303">
      <w:pPr>
        <w:pStyle w:val="3"/>
        <w:ind w:firstLine="480"/>
      </w:pPr>
      <w:r>
        <w:t>评标程序分为</w:t>
      </w:r>
      <w:r>
        <w:rPr>
          <w:rFonts w:hint="eastAsia"/>
        </w:rPr>
        <w:t>资格性</w:t>
      </w:r>
      <w:r>
        <w:t>评审</w:t>
      </w:r>
      <w:r>
        <w:rPr>
          <w:rFonts w:hint="eastAsia"/>
        </w:rPr>
        <w:t>和</w:t>
      </w:r>
      <w:r>
        <w:t>综合评审两部分。</w:t>
      </w:r>
    </w:p>
    <w:p w14:paraId="5E6597A2">
      <w:pPr>
        <w:pStyle w:val="3"/>
        <w:numPr>
          <w:ilvl w:val="0"/>
          <w:numId w:val="3"/>
        </w:numPr>
        <w:ind w:firstLineChars="0"/>
        <w:rPr>
          <w:rFonts w:ascii="宋体" w:hAnsi="宋体" w:cs="宋体"/>
        </w:rPr>
      </w:pPr>
      <w:r>
        <w:rPr>
          <w:rFonts w:hint="eastAsia"/>
        </w:rPr>
        <w:t>资格性</w:t>
      </w:r>
      <w:r>
        <w:t>评审</w:t>
      </w:r>
    </w:p>
    <w:p w14:paraId="5FDEEC17">
      <w:pPr>
        <w:pStyle w:val="3"/>
        <w:ind w:left="480" w:firstLine="0" w:firstLineChars="0"/>
        <w:rPr>
          <w:rFonts w:ascii="宋体" w:hAnsi="宋体" w:cs="宋体"/>
        </w:rPr>
      </w:pPr>
      <w:r>
        <w:rPr>
          <w:rFonts w:hint="eastAsia"/>
        </w:rPr>
        <w:t>评标组</w:t>
      </w:r>
      <w:r>
        <w:t>对响应文件</w:t>
      </w:r>
      <w:r>
        <w:rPr>
          <w:rFonts w:hint="eastAsia"/>
        </w:rPr>
        <w:t>中资格部分内容</w:t>
      </w:r>
      <w:r>
        <w:t>进行评审。</w:t>
      </w:r>
    </w:p>
    <w:p w14:paraId="53E44828">
      <w:pPr>
        <w:pStyle w:val="3"/>
        <w:numPr>
          <w:ilvl w:val="0"/>
          <w:numId w:val="3"/>
        </w:numPr>
        <w:ind w:firstLineChars="0"/>
        <w:rPr>
          <w:rFonts w:ascii="宋体" w:hAnsi="宋体" w:cs="宋体"/>
        </w:rPr>
      </w:pPr>
      <w:r>
        <w:t>综合评审</w:t>
      </w:r>
    </w:p>
    <w:p w14:paraId="00A36AE9">
      <w:pPr>
        <w:pStyle w:val="3"/>
        <w:ind w:firstLine="480"/>
      </w:pPr>
      <w:r>
        <w:rPr>
          <w:rFonts w:hint="eastAsia"/>
        </w:rPr>
        <w:t>评标组</w:t>
      </w:r>
      <w:r>
        <w:t>按照评分标准进行综合评分并提出评审意见。</w:t>
      </w:r>
    </w:p>
    <w:p w14:paraId="7067855F">
      <w:pPr>
        <w:pStyle w:val="3"/>
        <w:numPr>
          <w:ilvl w:val="0"/>
          <w:numId w:val="3"/>
        </w:numPr>
        <w:ind w:firstLineChars="0"/>
      </w:pPr>
      <w:r>
        <w:rPr>
          <w:rFonts w:hint="eastAsia"/>
        </w:rPr>
        <w:t>答疑和澄清</w:t>
      </w:r>
    </w:p>
    <w:p w14:paraId="686B8E7F">
      <w:pPr>
        <w:pStyle w:val="3"/>
        <w:ind w:firstLine="480"/>
      </w:pPr>
      <w:r>
        <w:rPr>
          <w:rFonts w:hint="eastAsia"/>
        </w:rPr>
        <w:t>有需要时，评标组可向投标单位进行</w:t>
      </w:r>
      <w:r>
        <w:t>质询，</w:t>
      </w:r>
      <w:r>
        <w:rPr>
          <w:rFonts w:hint="eastAsia"/>
        </w:rPr>
        <w:t>要求</w:t>
      </w:r>
      <w:r>
        <w:t>投标单位澄清有关问题</w:t>
      </w:r>
      <w:r>
        <w:rPr>
          <w:rFonts w:hint="eastAsia"/>
        </w:rPr>
        <w:t>，</w:t>
      </w:r>
      <w:r>
        <w:t>有关澄清的要求和答复应以书面形式提交。</w:t>
      </w:r>
    </w:p>
    <w:p w14:paraId="19BB3D43">
      <w:pPr>
        <w:pStyle w:val="2"/>
        <w:numPr>
          <w:ilvl w:val="0"/>
          <w:numId w:val="1"/>
        </w:numPr>
        <w:rPr>
          <w:rFonts w:ascii="黑体" w:hAnsi="黑体" w:cs="黑体"/>
        </w:rPr>
      </w:pPr>
      <w:r>
        <w:t>评分标准</w:t>
      </w:r>
    </w:p>
    <w:p w14:paraId="4AB34CAF">
      <w:pPr>
        <w:pStyle w:val="8"/>
      </w:pPr>
      <w:r>
        <w:t>综合评分明细表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29"/>
        <w:gridCol w:w="798"/>
        <w:gridCol w:w="3503"/>
        <w:gridCol w:w="953"/>
        <w:gridCol w:w="1723"/>
      </w:tblGrid>
      <w:tr w14:paraId="2A5B3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0" w:type="pct"/>
            <w:vAlign w:val="center"/>
          </w:tcPr>
          <w:p w14:paraId="74EB15AB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545" w:type="pct"/>
            <w:vAlign w:val="center"/>
          </w:tcPr>
          <w:p w14:paraId="408015F2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评分因素及权重</w:t>
            </w:r>
          </w:p>
        </w:tc>
        <w:tc>
          <w:tcPr>
            <w:tcW w:w="468" w:type="pct"/>
            <w:vAlign w:val="center"/>
          </w:tcPr>
          <w:p w14:paraId="7985FD6F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2055" w:type="pct"/>
            <w:vAlign w:val="center"/>
          </w:tcPr>
          <w:p w14:paraId="1E14B3D1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  <w:tc>
          <w:tcPr>
            <w:tcW w:w="559" w:type="pct"/>
          </w:tcPr>
          <w:p w14:paraId="6B7BBA1B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客观/主观</w:t>
            </w:r>
          </w:p>
        </w:tc>
        <w:tc>
          <w:tcPr>
            <w:tcW w:w="1011" w:type="pct"/>
            <w:vAlign w:val="center"/>
          </w:tcPr>
          <w:p w14:paraId="781C0AD7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</w:tr>
      <w:tr w14:paraId="304F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pct"/>
            <w:vAlign w:val="center"/>
          </w:tcPr>
          <w:p w14:paraId="565289B5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545" w:type="pct"/>
            <w:vAlign w:val="center"/>
          </w:tcPr>
          <w:p w14:paraId="1CF7174C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报价10%</w:t>
            </w:r>
          </w:p>
        </w:tc>
        <w:tc>
          <w:tcPr>
            <w:tcW w:w="468" w:type="pct"/>
            <w:vAlign w:val="center"/>
          </w:tcPr>
          <w:p w14:paraId="6E58CD13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10分</w:t>
            </w:r>
          </w:p>
        </w:tc>
        <w:tc>
          <w:tcPr>
            <w:tcW w:w="2055" w:type="pct"/>
            <w:vAlign w:val="center"/>
          </w:tcPr>
          <w:p w14:paraId="5F57D906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以本次有效的最低报价为基准价，报价得分=（基准价／响应报价）×10。</w:t>
            </w:r>
          </w:p>
          <w:p w14:paraId="7EA5D951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评分的取值按四舍五入法，保留小数点后两位。</w:t>
            </w:r>
          </w:p>
        </w:tc>
        <w:tc>
          <w:tcPr>
            <w:tcW w:w="559" w:type="pct"/>
            <w:vAlign w:val="center"/>
          </w:tcPr>
          <w:p w14:paraId="02DBFE59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客观</w:t>
            </w:r>
          </w:p>
        </w:tc>
        <w:tc>
          <w:tcPr>
            <w:tcW w:w="1011" w:type="pct"/>
            <w:vAlign w:val="center"/>
          </w:tcPr>
          <w:p w14:paraId="54505F58">
            <w:pPr>
              <w:pStyle w:val="3"/>
              <w:ind w:firstLine="48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/</w:t>
            </w:r>
          </w:p>
        </w:tc>
      </w:tr>
      <w:tr w14:paraId="7843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360" w:type="pct"/>
            <w:vMerge w:val="restart"/>
            <w:vAlign w:val="center"/>
          </w:tcPr>
          <w:p w14:paraId="0873307B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545" w:type="pct"/>
            <w:vMerge w:val="restart"/>
            <w:vAlign w:val="center"/>
          </w:tcPr>
          <w:p w14:paraId="60A81CF1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服务方案54%</w:t>
            </w:r>
          </w:p>
        </w:tc>
        <w:tc>
          <w:tcPr>
            <w:tcW w:w="468" w:type="pct"/>
            <w:vMerge w:val="restart"/>
            <w:vAlign w:val="center"/>
          </w:tcPr>
          <w:p w14:paraId="305383D1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54分</w:t>
            </w:r>
          </w:p>
        </w:tc>
        <w:tc>
          <w:tcPr>
            <w:tcW w:w="2055" w:type="pct"/>
            <w:tcBorders>
              <w:bottom w:val="single" w:color="auto" w:sz="4" w:space="0"/>
            </w:tcBorders>
            <w:vAlign w:val="center"/>
          </w:tcPr>
          <w:p w14:paraId="5F1F9717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供应商应针对本项目提供实施方案，内容包括：①项目背景分析；②项目目标；③项目重难点分析；④项目实施内容；⑤项目组织架构与人员分工；⑥项目质量保障方案。以上6项内容完整无缺项且无缺陷的得42分，每缺一项扣7分，每项内容每存在一处缺陷扣3.5分，该项内容分扣完为止。未提供不得分。</w:t>
            </w:r>
          </w:p>
        </w:tc>
        <w:tc>
          <w:tcPr>
            <w:tcW w:w="559" w:type="pct"/>
            <w:vMerge w:val="restart"/>
            <w:vAlign w:val="center"/>
          </w:tcPr>
          <w:p w14:paraId="4CE7E7BD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主观</w:t>
            </w:r>
          </w:p>
        </w:tc>
        <w:tc>
          <w:tcPr>
            <w:tcW w:w="1011" w:type="pct"/>
            <w:vMerge w:val="restart"/>
            <w:vAlign w:val="center"/>
          </w:tcPr>
          <w:p w14:paraId="5947E366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缺陷包括：①内容套用、抄袭其他项目方案；②引用或适用的法律法规、规范（标准）或其他规范性文件错误或失效；③内容与本项目（包件）需求不符或无关；④方案内容照搬采购需求且未就采购需求做进一步描述；⑤仅有框架/标题而无实质性内容；⑥其他技术缺陷。</w:t>
            </w:r>
          </w:p>
        </w:tc>
      </w:tr>
      <w:tr w14:paraId="3E08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360" w:type="pct"/>
            <w:vMerge w:val="continue"/>
            <w:vAlign w:val="center"/>
          </w:tcPr>
          <w:p w14:paraId="6BBD2764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7AE1660F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8" w:type="pct"/>
            <w:vMerge w:val="continue"/>
            <w:vAlign w:val="center"/>
          </w:tcPr>
          <w:p w14:paraId="2EA6F1AE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55" w:type="pct"/>
            <w:tcBorders>
              <w:top w:val="single" w:color="auto" w:sz="4" w:space="0"/>
            </w:tcBorders>
            <w:vAlign w:val="center"/>
          </w:tcPr>
          <w:p w14:paraId="03343527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除上述方案内容外，供应商应针对本项目提供工作进度计划，内容包括：①项目时间节点安排；②项目阶段工作任务。以上2项内容完整无缺项且无缺陷的得12分，每缺一项扣6分，每项内容每存在一处缺陷扣3分，该项内容分扣完为止。未提供不得分。</w:t>
            </w:r>
          </w:p>
        </w:tc>
        <w:tc>
          <w:tcPr>
            <w:tcW w:w="559" w:type="pct"/>
            <w:vMerge w:val="continue"/>
            <w:vAlign w:val="center"/>
          </w:tcPr>
          <w:p w14:paraId="32A24117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11" w:type="pct"/>
            <w:vMerge w:val="continue"/>
            <w:vAlign w:val="center"/>
          </w:tcPr>
          <w:p w14:paraId="7BE58ED4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13E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pct"/>
            <w:vAlign w:val="center"/>
          </w:tcPr>
          <w:p w14:paraId="4D510F68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545" w:type="pct"/>
            <w:vAlign w:val="center"/>
          </w:tcPr>
          <w:p w14:paraId="550A259F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人员配置22%</w:t>
            </w:r>
          </w:p>
        </w:tc>
        <w:tc>
          <w:tcPr>
            <w:tcW w:w="468" w:type="pct"/>
            <w:vAlign w:val="center"/>
          </w:tcPr>
          <w:p w14:paraId="05F62AB8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22分</w:t>
            </w:r>
          </w:p>
        </w:tc>
        <w:tc>
          <w:tcPr>
            <w:tcW w:w="3407" w:type="dxa"/>
            <w:vAlign w:val="center"/>
          </w:tcPr>
          <w:p w14:paraId="6565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1.本项目拟配备的人员情况：</w:t>
            </w:r>
          </w:p>
          <w:p w14:paraId="537E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项目负责人具有生物医药相关领域正高级职称，得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分，副高级职称的，得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分；具备博士学位，得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分。本项最高得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分，不满足不得分。</w:t>
            </w:r>
          </w:p>
          <w:p w14:paraId="412E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2.拟投入人员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除项目负责人外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配置针对项目实际且合理，具有硕士或硕士以上学位，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每提供1人得2分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最多得10分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716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3.项目组成员（除项目负责人外）具有副高级或以上职称的，每位加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分，累计不超过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 w14:paraId="05FC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以上人员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毕业证、学位证、职称证书。</w:t>
            </w:r>
          </w:p>
        </w:tc>
        <w:tc>
          <w:tcPr>
            <w:tcW w:w="559" w:type="pct"/>
            <w:vAlign w:val="center"/>
          </w:tcPr>
          <w:p w14:paraId="7FD29A3F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客观</w:t>
            </w:r>
          </w:p>
        </w:tc>
        <w:tc>
          <w:tcPr>
            <w:tcW w:w="1011" w:type="pct"/>
            <w:vAlign w:val="center"/>
          </w:tcPr>
          <w:p w14:paraId="63611884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注：以上人员均不得重复计分，提供证书复印件加盖供应商公章。</w:t>
            </w:r>
          </w:p>
        </w:tc>
      </w:tr>
      <w:tr w14:paraId="7BD4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" w:type="pct"/>
            <w:vAlign w:val="center"/>
          </w:tcPr>
          <w:p w14:paraId="7FCEAF8F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545" w:type="pct"/>
            <w:vAlign w:val="center"/>
          </w:tcPr>
          <w:p w14:paraId="029AAFCE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履约能力14%</w:t>
            </w:r>
          </w:p>
        </w:tc>
        <w:tc>
          <w:tcPr>
            <w:tcW w:w="468" w:type="pct"/>
            <w:vAlign w:val="center"/>
          </w:tcPr>
          <w:p w14:paraId="0DBA63AE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14分</w:t>
            </w:r>
          </w:p>
        </w:tc>
        <w:tc>
          <w:tcPr>
            <w:tcW w:w="2055" w:type="pct"/>
            <w:vAlign w:val="center"/>
          </w:tcPr>
          <w:p w14:paraId="3969E095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2023年1月1日以来每有一个类似业绩得7分，本项最多得14分。 </w:t>
            </w:r>
          </w:p>
        </w:tc>
        <w:tc>
          <w:tcPr>
            <w:tcW w:w="559" w:type="pct"/>
            <w:vAlign w:val="center"/>
          </w:tcPr>
          <w:p w14:paraId="62D8AEE1"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客观</w:t>
            </w:r>
          </w:p>
        </w:tc>
        <w:tc>
          <w:tcPr>
            <w:tcW w:w="1011" w:type="pct"/>
            <w:vAlign w:val="center"/>
          </w:tcPr>
          <w:p w14:paraId="30054D98">
            <w:pPr>
              <w:snapToGrid w:val="0"/>
              <w:spacing w:line="240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注：以合同签订时间为准，提供合同复印件并加盖供应商公章。</w:t>
            </w:r>
          </w:p>
        </w:tc>
      </w:tr>
    </w:tbl>
    <w:p w14:paraId="5955DA8B">
      <w:pPr>
        <w:pStyle w:val="3"/>
        <w:ind w:firstLine="480"/>
      </w:pPr>
      <w:r>
        <w:t>注：评分的取值按四舍五入法，保留小数点后两位。按综合得分由高到低进行排序。综合得分相同的，按投标报价由低到高顺序排列。</w:t>
      </w:r>
      <w:r>
        <w:rPr>
          <w:rFonts w:ascii="宋体" w:hAnsi="宋体" w:eastAsia="宋体" w:cs="宋体"/>
          <w:sz w:val="24"/>
          <w:szCs w:val="24"/>
        </w:rPr>
        <w:t>得分最高者为成交供应商。</w:t>
      </w:r>
    </w:p>
    <w:p w14:paraId="78ABB6E9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3A76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89A6F"/>
    <w:multiLevelType w:val="singleLevel"/>
    <w:tmpl w:val="CC789A6F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">
    <w:nsid w:val="30DB19F3"/>
    <w:multiLevelType w:val="singleLevel"/>
    <w:tmpl w:val="30DB19F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63D316D0"/>
    <w:multiLevelType w:val="singleLevel"/>
    <w:tmpl w:val="63D316D0"/>
    <w:lvl w:ilvl="0" w:tentative="0">
      <w:start w:val="1"/>
      <w:numFmt w:val="decimal"/>
      <w:suff w:val="nothing"/>
      <w:lvlText w:val="%1．"/>
      <w:lvlJc w:val="left"/>
      <w:pPr>
        <w:ind w:left="0" w:firstLine="4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  <w:style w:type="paragraph" w:customStyle="1" w:styleId="8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2026-07-21T03:27:20Z</dcterms:created>
  <dc:creator>1</dc:creator>
  <cp:lastModifiedBy>叽里咕噜哇咧喵</cp:lastModifiedBy>
  <dcterms:modified xsi:type="dcterms:W3CDTF">2026-07-21T03:27:27Z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eyJoZGlkIjoiOGNkMzkzYjJmODEwN2VkY2Q1ZDNiYmVhMGZkYmRlYzAiLCJ1c2VySWQiOiIxMTQxOTAzNTgxIn0=</vt:lpwstr>
  </property>
  <property fmtid="{D5CDD505-2E9C-101B-9397-08002B2CF9AE}" pid="4" name="ICV">
    <vt:lpwstr>1DE34D8B0AEC443B977BFFBA38C60B72_12</vt:lpwstr>
  </property>
</Properties>
</file>